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Privacy Statement</w:t>
      </w:r>
    </w:p>
    <w:p>
      <w:pPr>
        <w:spacing w:after="360"/>
        <w:jc w:val="center"/>
      </w:pPr>
      <w:r>
        <w:rPr>
          <w:b/>
          <w:bCs/>
          <w:sz w:val="28"/>
          <w:szCs w:val="28"/>
        </w:rPr>
        <w:t xml:space="preserve">SAMEN.ai</w:t>
      </w:r>
      <w:r>
        <w:rPr>
          <w:sz w:val="24"/>
          <w:szCs w:val="24"/>
        </w:rPr>
        <w:t xml:space="preserve"> | </w:t>
      </w:r>
      <w:r>
        <w:rPr>
          <w:sz w:val="22"/>
          <w:szCs w:val="22"/>
        </w:rPr>
        <w:t xml:space="preserve">Effective Date: December 23, 2025</w:t>
      </w:r>
    </w:p>
    <w:p>
      <w:pPr>
        <w:spacing w:after="360"/>
      </w:pPr>
      <w:r>
        <w:rPr>
          <w:b/>
          <w:bCs/>
          <w:sz w:val="28"/>
          <w:szCs w:val="28"/>
        </w:rPr>
        <w:t xml:space="preserve">Table of Contents</w:t>
      </w:r>
    </w:p>
    <w:p>
      <w:pPr>
        <w:spacing w:after="120"/>
      </w:pPr>
      <w:r>
        <w:rPr>
          <w:i/>
          <w:iCs/>
          <w:sz w:val="20"/>
          <w:szCs w:val="20"/>
        </w:rPr>
        <w:t xml:space="preserve">[Right-click and select 'Update Field' in Microsoft Word to generate the table of contents]</w:t>
      </w:r>
    </w:p>
    <w:p>
      <w:pPr>
        <w:pStyle w:val="Heading1"/>
      </w:pPr>
      <w:r>
        <w:t xml:space="preserve">1. Introduction</w:t>
      </w:r>
    </w:p>
    <w:p>
      <w:pPr>
        <w:spacing w:after="120"/>
      </w:pPr>
      <w:r>
        <w:t xml:space="preserve">SAMEN.ai ("we", "us", "our") is committed to protecting your privacy and ensuring transparency in how we collect, use, and process your personal data. This Privacy Statement explains our practices in compliance with the General Data Protection Regulation (GDPR) and the European Union Artificial Intelligence Act (EU AI Act).</w:t>
      </w:r>
    </w:p>
    <w:p>
      <w:pPr>
        <w:spacing w:after="240"/>
      </w:pPr>
      <w:r>
        <w:t xml:space="preserve">We are a Dutch company specializing in human-centered AI solutions, providing services including LLM agents, computer vision, and pattern recognition systems to clients across the Netherlands and European Union.</w:t>
      </w:r>
    </w:p>
    <w:p>
      <w:pPr>
        <w:pStyle w:val="Heading1"/>
      </w:pPr>
      <w:r>
        <w:t xml:space="preserve">2. Data Controller Information</w:t>
      </w:r>
    </w:p>
    <w:p>
      <w:pPr>
        <w:spacing w:after="60"/>
      </w:pPr>
      <w:r>
        <w:rPr>
          <w:b/>
          <w:bCs/>
        </w:rPr>
        <w:t xml:space="preserve">Organization Name: </w:t>
      </w:r>
      <w:r>
        <w:t xml:space="preserve">SAMEN.ai</w:t>
      </w:r>
    </w:p>
    <w:p>
      <w:pPr>
        <w:spacing w:after="60"/>
      </w:pPr>
      <w:r>
        <w:rPr>
          <w:b/>
          <w:bCs/>
        </w:rPr>
        <w:t xml:space="preserve">Location: </w:t>
      </w:r>
      <w:r>
        <w:t xml:space="preserve">Rotterdam, South Holland, Netherlands</w:t>
      </w:r>
    </w:p>
    <w:p>
      <w:pPr>
        <w:spacing w:after="60"/>
      </w:pPr>
      <w:r>
        <w:rPr>
          <w:b/>
          <w:bCs/>
        </w:rPr>
        <w:t xml:space="preserve">Email: </w:t>
      </w:r>
      <w:r>
        <w:t xml:space="preserve">info@samen.ai</w:t>
      </w:r>
    </w:p>
    <w:p>
      <w:pPr>
        <w:spacing w:after="60"/>
      </w:pPr>
      <w:r>
        <w:rPr>
          <w:b/>
          <w:bCs/>
        </w:rPr>
        <w:t xml:space="preserve">Phone: </w:t>
      </w:r>
      <w:r>
        <w:t xml:space="preserve">+31 6 36376077</w:t>
      </w:r>
    </w:p>
    <w:p>
      <w:pPr>
        <w:spacing w:after="240"/>
      </w:pPr>
      <w:r>
        <w:rPr>
          <w:b/>
          <w:bCs/>
        </w:rPr>
        <w:t xml:space="preserve">Website: </w:t>
      </w:r>
      <w:r>
        <w:t xml:space="preserve">https://samen.ai/</w:t>
      </w:r>
    </w:p>
    <w:p>
      <w:pPr>
        <w:pStyle w:val="Heading1"/>
      </w:pPr>
      <w:r>
        <w:t xml:space="preserve">3. Personal Data We Collect</w:t>
      </w:r>
    </w:p>
    <w:p>
      <w:pPr>
        <w:pStyle w:val="Heading2"/>
      </w:pPr>
      <w:r>
        <w:t xml:space="preserve">3.1 Information You Provide</w:t>
      </w:r>
    </w:p>
    <w:p>
      <w:pPr>
        <w:spacing w:after="120"/>
      </w:pPr>
      <w:r>
        <w:t xml:space="preserve">We collect personal data that you voluntarily provide to us when:</w:t>
      </w:r>
    </w:p>
    <w:p>
      <w:pPr>
        <w:pStyle w:val="ListParagraph"/>
        <w:numPr>
          <w:ilvl w:val="0"/>
          <w:numId w:val="2"/>
        </w:numPr>
      </w:pPr>
      <w:r>
        <w:t xml:space="preserve">Scheduling consultations or intake meetings via Calendly</w:t>
      </w:r>
    </w:p>
    <w:p>
      <w:pPr>
        <w:pStyle w:val="ListParagraph"/>
        <w:numPr>
          <w:ilvl w:val="0"/>
          <w:numId w:val="2"/>
        </w:numPr>
      </w:pPr>
      <w:r>
        <w:t xml:space="preserve">Contacting us via email, phone, or contact forms</w:t>
      </w:r>
    </w:p>
    <w:p>
      <w:pPr>
        <w:pStyle w:val="ListParagraph"/>
        <w:numPr>
          <w:ilvl w:val="0"/>
          <w:numId w:val="2"/>
        </w:numPr>
      </w:pPr>
      <w:r>
        <w:t xml:space="preserve">Subscribing to our newsletter</w:t>
      </w:r>
    </w:p>
    <w:p>
      <w:pPr>
        <w:pStyle w:val="ListParagraph"/>
        <w:numPr>
          <w:ilvl w:val="0"/>
          <w:numId w:val="2"/>
        </w:numPr>
      </w:pPr>
      <w:r>
        <w:t xml:space="preserve">Using our AI demonstration tools on our website</w:t>
      </w:r>
    </w:p>
    <w:p>
      <w:pPr>
        <w:pStyle w:val="ListParagraph"/>
        <w:numPr>
          <w:ilvl w:val="0"/>
          <w:numId w:val="2"/>
        </w:numPr>
      </w:pPr>
      <w:r>
        <w:t xml:space="preserve">Engaging our services as a client</w:t>
      </w:r>
    </w:p>
    <w:p>
      <w:pPr>
        <w:spacing w:before="120" w:after="120"/>
      </w:pPr>
      <w:r>
        <w:rPr>
          <w:i/>
          <w:iCs/>
        </w:rPr>
        <w:t xml:space="preserve">This may include:</w:t>
      </w:r>
    </w:p>
    <w:p>
      <w:pPr>
        <w:pStyle w:val="ListParagraph"/>
        <w:numPr>
          <w:ilvl w:val="0"/>
          <w:numId w:val="2"/>
        </w:numPr>
      </w:pPr>
      <w:r>
        <w:t xml:space="preserve">Name and contact information (email address, phone number)</w:t>
      </w:r>
    </w:p>
    <w:p>
      <w:pPr>
        <w:pStyle w:val="ListParagraph"/>
        <w:numPr>
          <w:ilvl w:val="0"/>
          <w:numId w:val="2"/>
        </w:numPr>
      </w:pPr>
      <w:r>
        <w:t xml:space="preserve">Company name and job title</w:t>
      </w:r>
    </w:p>
    <w:p>
      <w:pPr>
        <w:pStyle w:val="ListParagraph"/>
        <w:numPr>
          <w:ilvl w:val="0"/>
          <w:numId w:val="2"/>
        </w:numPr>
      </w:pPr>
      <w:r>
        <w:t xml:space="preserve">Business requirements and project details</w:t>
      </w:r>
    </w:p>
    <w:p>
      <w:pPr>
        <w:pStyle w:val="ListParagraph"/>
        <w:numPr>
          <w:ilvl w:val="0"/>
          <w:numId w:val="2"/>
        </w:numPr>
      </w:pPr>
      <w:r>
        <w:t xml:space="preserve">Communication preferences</w:t>
      </w:r>
    </w:p>
    <w:p>
      <w:pPr>
        <w:pStyle w:val="ListParagraph"/>
        <w:numPr>
          <w:ilvl w:val="0"/>
          <w:numId w:val="2"/>
        </w:numPr>
      </w:pPr>
      <w:r>
        <w:t xml:space="preserve">Any other information you choose to share with us</w:t>
      </w:r>
    </w:p>
    <w:p>
      <w:pPr>
        <w:pStyle w:val="Heading2"/>
        <w:spacing w:before="240"/>
      </w:pPr>
      <w:r>
        <w:t xml:space="preserve">3.2 Automatically Collected Information</w:t>
      </w:r>
    </w:p>
    <w:p>
      <w:pPr>
        <w:spacing w:after="120"/>
      </w:pPr>
      <w:r>
        <w:t xml:space="preserve">When you visit our website, we may automatically collect:</w:t>
      </w:r>
    </w:p>
    <w:p>
      <w:pPr>
        <w:pStyle w:val="ListParagraph"/>
        <w:numPr>
          <w:ilvl w:val="0"/>
          <w:numId w:val="2"/>
        </w:numPr>
      </w:pPr>
      <w:r>
        <w:t xml:space="preserve">Technical data (IP address, browser type, device information)</w:t>
      </w:r>
    </w:p>
    <w:p>
      <w:pPr>
        <w:pStyle w:val="ListParagraph"/>
        <w:numPr>
          <w:ilvl w:val="0"/>
          <w:numId w:val="2"/>
        </w:numPr>
      </w:pPr>
      <w:r>
        <w:t xml:space="preserve">Usage data (pages visited, time spent, clickstream data)</w:t>
      </w:r>
    </w:p>
    <w:p>
      <w:pPr>
        <w:pStyle w:val="ListParagraph"/>
        <w:numPr>
          <w:ilvl w:val="0"/>
          <w:numId w:val="2"/>
        </w:numPr>
      </w:pPr>
      <w:r>
        <w:t xml:space="preserve">Location data (derived from IP address)</w:t>
      </w:r>
    </w:p>
    <w:p>
      <w:pPr>
        <w:pStyle w:val="ListParagraph"/>
        <w:numPr>
          <w:ilvl w:val="0"/>
          <w:numId w:val="2"/>
        </w:numPr>
      </w:pPr>
      <w:r>
        <w:t xml:space="preserve">Cookie data (see Section 11 for details)</w:t>
      </w:r>
    </w:p>
    <w:p>
      <w:pPr>
        <w:pStyle w:val="Heading2"/>
        <w:spacing w:before="240"/>
      </w:pPr>
      <w:r>
        <w:t xml:space="preserve">3.3 AI Demonstration Tool Data</w:t>
      </w:r>
    </w:p>
    <w:p>
      <w:pPr>
        <w:spacing w:after="120"/>
      </w:pPr>
      <w:r>
        <w:t xml:space="preserve">When using our interactive AI demonstration tools (computer vision, gesture recognition, RAG-chat), we may temporarily process:</w:t>
      </w:r>
    </w:p>
    <w:p>
      <w:pPr>
        <w:pStyle w:val="ListParagraph"/>
        <w:numPr>
          <w:ilvl w:val="0"/>
          <w:numId w:val="2"/>
        </w:numPr>
      </w:pPr>
      <w:r>
        <w:t xml:space="preserve">Webcam images (for computer vision and gesture recognition demos)</w:t>
      </w:r>
    </w:p>
    <w:p>
      <w:pPr>
        <w:pStyle w:val="ListParagraph"/>
        <w:numPr>
          <w:ilvl w:val="0"/>
          <w:numId w:val="2"/>
        </w:numPr>
      </w:pPr>
      <w:r>
        <w:t xml:space="preserve">Text queries (for RAG-chat demonstrations)</w:t>
      </w:r>
    </w:p>
    <w:p>
      <w:pPr>
        <w:spacing w:before="120" w:after="240"/>
      </w:pPr>
      <w:r>
        <w:rPr>
          <w:b/>
          <w:bCs/>
        </w:rPr>
        <w:t xml:space="preserve">Important: </w:t>
      </w:r>
      <w:r>
        <w:t xml:space="preserve">All demo data is processed locally in your browser or temporarily on our servers and is not stored permanently unless you explicitly provide it as part of a service engagement. Webcam data is processed in real-time and immediately discarded.</w:t>
      </w:r>
    </w:p>
    <w:p>
      <w:pPr>
        <w:pStyle w:val="Heading1"/>
      </w:pPr>
      <w:r>
        <w:t xml:space="preserve">4. Legal Basis for Processing</w:t>
      </w:r>
    </w:p>
    <w:p>
      <w:pPr>
        <w:spacing w:after="120"/>
      </w:pPr>
      <w:r>
        <w:t xml:space="preserve">Under GDPR, we process your personal data based on the following legal grounds:</w:t>
      </w:r>
    </w:p>
    <w:p>
      <w:pPr>
        <w:spacing w:after="60"/>
      </w:pPr>
      <w:r>
        <w:rPr>
          <w:b/>
          <w:bCs/>
        </w:rPr>
        <w:t xml:space="preserve">Consent (Article 6(1)(a) GDPR): </w:t>
      </w:r>
      <w:r>
        <w:t xml:space="preserve">When you subscribe to our newsletter, use our AI demonstrations, or provide explicit consent for specific processing activities.</w:t>
      </w:r>
    </w:p>
    <w:p>
      <w:pPr>
        <w:spacing w:after="60"/>
      </w:pPr>
      <w:r>
        <w:rPr>
          <w:b/>
          <w:bCs/>
        </w:rPr>
        <w:t xml:space="preserve">Contract Performance (Article 6(1)(b) GDPR): </w:t>
      </w:r>
      <w:r>
        <w:t xml:space="preserve">When processing is necessary to fulfill our contractual obligations to you as a client or to take pre-contractual steps at your request.</w:t>
      </w:r>
    </w:p>
    <w:p>
      <w:pPr>
        <w:spacing w:after="60"/>
      </w:pPr>
      <w:r>
        <w:rPr>
          <w:b/>
          <w:bCs/>
        </w:rPr>
        <w:t xml:space="preserve">Legal Obligation (Article 6(1)(c) GDPR): </w:t>
      </w:r>
      <w:r>
        <w:t xml:space="preserve">When we must process data to comply with legal requirements, such as tax regulations, accounting obligations, or regulatory compliance.</w:t>
      </w:r>
    </w:p>
    <w:p>
      <w:pPr>
        <w:spacing w:after="240"/>
      </w:pPr>
      <w:r>
        <w:rPr>
          <w:b/>
          <w:bCs/>
        </w:rPr>
        <w:t xml:space="preserve">Legitimate Interest (Article 6(1)(f) GDPR): </w:t>
      </w:r>
      <w:r>
        <w:t xml:space="preserve">For business operations such as fraud prevention, network security, improving our services, and direct marketing to existing clients, where our interests do not override your fundamental rights and freedoms.</w:t>
      </w:r>
    </w:p>
    <w:p>
      <w:pPr>
        <w:pStyle w:val="Heading1"/>
      </w:pPr>
      <w:r>
        <w:t xml:space="preserve">5. How We Use Your Personal Data</w:t>
      </w:r>
    </w:p>
    <w:p>
      <w:pPr>
        <w:spacing w:after="120"/>
      </w:pPr>
      <w:r>
        <w:t xml:space="preserve">We use your personal data for the following purposes:</w:t>
      </w:r>
    </w:p>
    <w:p>
      <w:pPr>
        <w:spacing w:after="60"/>
      </w:pPr>
      <w:r>
        <w:rPr>
          <w:b/>
          <w:bCs/>
        </w:rPr>
        <w:t xml:space="preserve">Service Delivery: </w:t>
      </w:r>
      <w:r>
        <w:t xml:space="preserve">To provide AI consulting, development, and implementation services; to communicate about projects; to deliver technical support.</w:t>
      </w:r>
    </w:p>
    <w:p>
      <w:pPr>
        <w:spacing w:after="60"/>
      </w:pPr>
      <w:r>
        <w:rPr>
          <w:b/>
          <w:bCs/>
        </w:rPr>
        <w:t xml:space="preserve">Business Communication: </w:t>
      </w:r>
      <w:r>
        <w:t xml:space="preserve">To respond to inquiries, schedule meetings, send service-related information, and maintain client relationships.</w:t>
      </w:r>
    </w:p>
    <w:p>
      <w:pPr>
        <w:spacing w:after="60"/>
      </w:pPr>
      <w:r>
        <w:rPr>
          <w:b/>
          <w:bCs/>
        </w:rPr>
        <w:t xml:space="preserve">Marketing and Newsletter: </w:t>
      </w:r>
      <w:r>
        <w:t xml:space="preserve">To send AI-related articles, news updates, and information about our services (only with your consent, which you can withdraw at any time).</w:t>
      </w:r>
    </w:p>
    <w:p>
      <w:pPr>
        <w:spacing w:after="60"/>
      </w:pPr>
      <w:r>
        <w:rPr>
          <w:b/>
          <w:bCs/>
        </w:rPr>
        <w:t xml:space="preserve">Website Functionality: </w:t>
      </w:r>
      <w:r>
        <w:t xml:space="preserve">To enable our AI demonstration tools, improve user experience, and optimize website performance.</w:t>
      </w:r>
    </w:p>
    <w:p>
      <w:pPr>
        <w:spacing w:after="60"/>
      </w:pPr>
      <w:r>
        <w:rPr>
          <w:b/>
          <w:bCs/>
        </w:rPr>
        <w:t xml:space="preserve">Legal Compliance: </w:t>
      </w:r>
      <w:r>
        <w:t xml:space="preserve">To fulfill accounting, tax, and regulatory obligations; to comply with EU AI Act transparency requirements.</w:t>
      </w:r>
    </w:p>
    <w:p>
      <w:pPr>
        <w:spacing w:after="60"/>
      </w:pPr>
      <w:r>
        <w:rPr>
          <w:b/>
          <w:bCs/>
        </w:rPr>
        <w:t xml:space="preserve">Security and Fraud Prevention: </w:t>
      </w:r>
      <w:r>
        <w:t xml:space="preserve">To protect our systems, detect misuse, and ensure the security of our services.</w:t>
      </w:r>
    </w:p>
    <w:p>
      <w:pPr>
        <w:spacing w:after="240"/>
      </w:pPr>
      <w:r>
        <w:rPr>
          <w:b/>
          <w:bCs/>
        </w:rPr>
        <w:t xml:space="preserve">Business Analytics: </w:t>
      </w:r>
      <w:r>
        <w:t xml:space="preserve">To analyze service performance, understand user needs, and improve our AI solutions.</w:t>
      </w:r>
    </w:p>
    <w:p>
      <w:pPr>
        <w:pStyle w:val="Heading1"/>
      </w:pPr>
      <w:r>
        <w:t xml:space="preserve">6. EU AI Act Compliance</w:t>
      </w:r>
    </w:p>
    <w:p>
      <w:pPr>
        <w:spacing w:after="120"/>
      </w:pPr>
      <w:r>
        <w:t xml:space="preserve">SAMEN.ai is committed to full compliance with the European Union Artificial Intelligence Act (Regulation (EU) 2024/1689). This section explains how we ensure our AI systems meet the Act's requirements.</w:t>
      </w:r>
    </w:p>
    <w:p>
      <w:pPr>
        <w:pStyle w:val="Heading2"/>
      </w:pPr>
      <w:r>
        <w:t xml:space="preserve">6.1 AI System Classification</w:t>
      </w:r>
    </w:p>
    <w:p>
      <w:pPr>
        <w:spacing w:after="120"/>
      </w:pPr>
      <w:r>
        <w:t xml:space="preserve">We have conducted risk assessments of all AI systems we develop and deploy. Our systems are classified as follows:</w:t>
      </w:r>
    </w:p>
    <w:p>
      <w:pPr>
        <w:spacing w:after="60"/>
      </w:pPr>
      <w:r>
        <w:rPr>
          <w:b/>
          <w:bCs/>
        </w:rPr>
        <w:t xml:space="preserve">Limited Risk AI Systems: </w:t>
      </w:r>
      <w:r>
        <w:t xml:space="preserve">Our website AI demonstrations (computer vision, gesture recognition, RAG-chat) are classified as limited risk systems used for demonstration purposes only.</w:t>
      </w:r>
    </w:p>
    <w:p>
      <w:pPr>
        <w:spacing w:after="60"/>
      </w:pPr>
      <w:r>
        <w:rPr>
          <w:b/>
          <w:bCs/>
        </w:rPr>
        <w:t xml:space="preserve">High-Risk AI Systems: </w:t>
      </w:r>
      <w:r>
        <w:t xml:space="preserve">When we develop AI systems for clients that fall under high-risk categories defined in Annex III of the EU AI Act (such as HR systems, safety systems, or critical infrastructure), we implement additional safeguards, documentation, and oversight measures.</w:t>
      </w:r>
    </w:p>
    <w:p>
      <w:pPr>
        <w:spacing w:after="240"/>
      </w:pPr>
      <w:r>
        <w:rPr>
          <w:b/>
          <w:bCs/>
        </w:rPr>
        <w:t xml:space="preserve">General Purpose AI: </w:t>
      </w:r>
      <w:r>
        <w:t xml:space="preserve">When deploying general-purpose AI models, we ensure transparency regarding their capabilities, limitations, and appropriate use cases.</w:t>
      </w:r>
    </w:p>
    <w:p>
      <w:pPr>
        <w:pStyle w:val="Heading2"/>
      </w:pPr>
      <w:r>
        <w:t xml:space="preserve">6.2 Transparency Obligations</w:t>
      </w:r>
    </w:p>
    <w:p>
      <w:pPr>
        <w:spacing w:after="120"/>
      </w:pPr>
      <w:r>
        <w:t xml:space="preserve">In accordance with Article 50 of the EU AI Act, we ensure transparency when deploying AI systems:</w:t>
      </w:r>
    </w:p>
    <w:p>
      <w:pPr>
        <w:pStyle w:val="ListParagraph"/>
        <w:numPr>
          <w:ilvl w:val="0"/>
          <w:numId w:val="2"/>
        </w:numPr>
      </w:pPr>
      <w:r>
        <w:rPr>
          <w:b/>
          <w:bCs/>
        </w:rPr>
        <w:t xml:space="preserve">AI-Generated Content: </w:t>
      </w:r>
      <w:r>
        <w:t xml:space="preserve">All content generated by AI systems is clearly labeled as such.</w:t>
      </w:r>
    </w:p>
    <w:p>
      <w:pPr>
        <w:pStyle w:val="ListParagraph"/>
        <w:numPr>
          <w:ilvl w:val="0"/>
          <w:numId w:val="2"/>
        </w:numPr>
      </w:pPr>
      <w:r>
        <w:rPr>
          <w:b/>
          <w:bCs/>
        </w:rPr>
        <w:t xml:space="preserve">Human Oversight: </w:t>
      </w:r>
      <w:r>
        <w:t xml:space="preserve">Critical decisions involving AI systems maintain meaningful human oversight and review.</w:t>
      </w:r>
    </w:p>
    <w:p>
      <w:pPr>
        <w:pStyle w:val="ListParagraph"/>
        <w:numPr>
          <w:ilvl w:val="0"/>
          <w:numId w:val="2"/>
        </w:numPr>
      </w:pPr>
      <w:r>
        <w:rPr>
          <w:b/>
          <w:bCs/>
        </w:rPr>
        <w:t xml:space="preserve">System Limitations: </w:t>
      </w:r>
      <w:r>
        <w:t xml:space="preserve">We clearly communicate the capabilities and limitations of our AI systems to clients and users.</w:t>
      </w:r>
    </w:p>
    <w:p>
      <w:pPr>
        <w:pStyle w:val="ListParagraph"/>
        <w:numPr>
          <w:ilvl w:val="0"/>
          <w:numId w:val="2"/>
        </w:numPr>
      </w:pPr>
      <w:r>
        <w:rPr>
          <w:b/>
          <w:bCs/>
        </w:rPr>
        <w:t xml:space="preserve">Documentation: </w:t>
      </w:r>
      <w:r>
        <w:t xml:space="preserve">We maintain comprehensive technical documentation for all AI systems we develop.</w:t>
      </w:r>
    </w:p>
    <w:p>
      <w:pPr>
        <w:pStyle w:val="Heading2"/>
        <w:spacing w:before="240"/>
      </w:pPr>
      <w:r>
        <w:t xml:space="preserve">6.3 Data Governance for AI Systems</w:t>
      </w:r>
    </w:p>
    <w:p>
      <w:pPr>
        <w:spacing w:after="120"/>
      </w:pPr>
      <w:r>
        <w:t xml:space="preserve">For AI systems we develop and deploy:</w:t>
      </w:r>
    </w:p>
    <w:p>
      <w:pPr>
        <w:pStyle w:val="ListParagraph"/>
        <w:numPr>
          <w:ilvl w:val="0"/>
          <w:numId w:val="2"/>
        </w:numPr>
      </w:pPr>
      <w:r>
        <w:rPr>
          <w:b/>
          <w:bCs/>
        </w:rPr>
        <w:t xml:space="preserve">Training Data Quality: </w:t>
      </w:r>
      <w:r>
        <w:t xml:space="preserve">We ensure training data is relevant, representative, and free from biases that could lead to discriminatory outcomes.</w:t>
      </w:r>
    </w:p>
    <w:p>
      <w:pPr>
        <w:pStyle w:val="ListParagraph"/>
        <w:numPr>
          <w:ilvl w:val="0"/>
          <w:numId w:val="2"/>
        </w:numPr>
      </w:pPr>
      <w:r>
        <w:rPr>
          <w:b/>
          <w:bCs/>
        </w:rPr>
        <w:t xml:space="preserve">Data Minimization: </w:t>
      </w:r>
      <w:r>
        <w:t xml:space="preserve">AI systems only process data necessary for their intended purpose.</w:t>
      </w:r>
    </w:p>
    <w:p>
      <w:pPr>
        <w:pStyle w:val="ListParagraph"/>
        <w:numPr>
          <w:ilvl w:val="0"/>
          <w:numId w:val="2"/>
        </w:numPr>
      </w:pPr>
      <w:r>
        <w:rPr>
          <w:b/>
          <w:bCs/>
        </w:rPr>
        <w:t xml:space="preserve">Bias Mitigation: </w:t>
      </w:r>
      <w:r>
        <w:t xml:space="preserve">We implement measures to detect and mitigate potential biases in AI systems, particularly for high-risk applications.</w:t>
      </w:r>
    </w:p>
    <w:p>
      <w:pPr>
        <w:pStyle w:val="ListParagraph"/>
        <w:numPr>
          <w:ilvl w:val="0"/>
          <w:numId w:val="2"/>
        </w:numPr>
      </w:pPr>
      <w:r>
        <w:rPr>
          <w:b/>
          <w:bCs/>
        </w:rPr>
        <w:t xml:space="preserve">Accuracy and Robustness: </w:t>
      </w:r>
      <w:r>
        <w:t xml:space="preserve">We continuously monitor and test AI systems to ensure they perform accurately and reliably.</w:t>
      </w:r>
    </w:p>
    <w:p>
      <w:pPr>
        <w:pStyle w:val="Heading2"/>
        <w:spacing w:before="240"/>
      </w:pPr>
      <w:r>
        <w:t xml:space="preserve">6.4 High-Risk AI Systems</w:t>
      </w:r>
    </w:p>
    <w:p>
      <w:pPr>
        <w:spacing w:after="120"/>
      </w:pPr>
      <w:r>
        <w:t xml:space="preserve">When we develop or deploy high-risk AI systems (as defined in Article 6 and Annex III of the EU AI Act), we implement:</w:t>
      </w:r>
    </w:p>
    <w:p>
      <w:pPr>
        <w:pStyle w:val="ListParagraph"/>
        <w:numPr>
          <w:ilvl w:val="0"/>
          <w:numId w:val="2"/>
        </w:numPr>
      </w:pPr>
      <w:r>
        <w:rPr>
          <w:b/>
          <w:bCs/>
        </w:rPr>
        <w:t xml:space="preserve">Risk Management Systems: </w:t>
      </w:r>
      <w:r>
        <w:t xml:space="preserve">Continuous identification, analysis, and mitigation of risks.</w:t>
      </w:r>
    </w:p>
    <w:p>
      <w:pPr>
        <w:pStyle w:val="ListParagraph"/>
        <w:numPr>
          <w:ilvl w:val="0"/>
          <w:numId w:val="2"/>
        </w:numPr>
      </w:pPr>
      <w:r>
        <w:rPr>
          <w:b/>
          <w:bCs/>
        </w:rPr>
        <w:t xml:space="preserve">Data Governance: </w:t>
      </w:r>
      <w:r>
        <w:t xml:space="preserve">Rigorous data quality, relevance, and representativeness standards.</w:t>
      </w:r>
    </w:p>
    <w:p>
      <w:pPr>
        <w:pStyle w:val="ListParagraph"/>
        <w:numPr>
          <w:ilvl w:val="0"/>
          <w:numId w:val="2"/>
        </w:numPr>
      </w:pPr>
      <w:r>
        <w:rPr>
          <w:b/>
          <w:bCs/>
        </w:rPr>
        <w:t xml:space="preserve">Technical Documentation: </w:t>
      </w:r>
      <w:r>
        <w:t xml:space="preserve">Comprehensive documentation of system design, development, and performance.</w:t>
      </w:r>
    </w:p>
    <w:p>
      <w:pPr>
        <w:pStyle w:val="ListParagraph"/>
        <w:numPr>
          <w:ilvl w:val="0"/>
          <w:numId w:val="2"/>
        </w:numPr>
      </w:pPr>
      <w:r>
        <w:rPr>
          <w:b/>
          <w:bCs/>
        </w:rPr>
        <w:t xml:space="preserve">Record-Keeping: </w:t>
      </w:r>
      <w:r>
        <w:t xml:space="preserve">Automatic logging of AI system operations for traceability.</w:t>
      </w:r>
    </w:p>
    <w:p>
      <w:pPr>
        <w:pStyle w:val="ListParagraph"/>
        <w:numPr>
          <w:ilvl w:val="0"/>
          <w:numId w:val="2"/>
        </w:numPr>
      </w:pPr>
      <w:r>
        <w:rPr>
          <w:b/>
          <w:bCs/>
        </w:rPr>
        <w:t xml:space="preserve">Transparency: </w:t>
      </w:r>
      <w:r>
        <w:t xml:space="preserve">Clear information to users about system capabilities and limitations.</w:t>
      </w:r>
    </w:p>
    <w:p>
      <w:pPr>
        <w:pStyle w:val="ListParagraph"/>
        <w:numPr>
          <w:ilvl w:val="0"/>
          <w:numId w:val="2"/>
        </w:numPr>
      </w:pPr>
      <w:r>
        <w:rPr>
          <w:b/>
          <w:bCs/>
        </w:rPr>
        <w:t xml:space="preserve">Human Oversight: </w:t>
      </w:r>
      <w:r>
        <w:t xml:space="preserve">Mechanisms for meaningful human supervision and intervention.</w:t>
      </w:r>
    </w:p>
    <w:p>
      <w:pPr>
        <w:pStyle w:val="ListParagraph"/>
        <w:numPr>
          <w:ilvl w:val="0"/>
          <w:numId w:val="2"/>
        </w:numPr>
      </w:pPr>
      <w:r>
        <w:rPr>
          <w:b/>
          <w:bCs/>
        </w:rPr>
        <w:t xml:space="preserve">Accuracy and Robustness: </w:t>
      </w:r>
      <w:r>
        <w:t xml:space="preserve">Regular testing and validation to ensure system reliability.</w:t>
      </w:r>
    </w:p>
    <w:p>
      <w:pPr>
        <w:pStyle w:val="ListParagraph"/>
        <w:numPr>
          <w:ilvl w:val="0"/>
          <w:numId w:val="2"/>
        </w:numPr>
      </w:pPr>
      <w:r>
        <w:rPr>
          <w:b/>
          <w:bCs/>
        </w:rPr>
        <w:t xml:space="preserve">Cybersecurity: </w:t>
      </w:r>
      <w:r>
        <w:t xml:space="preserve">Protection against unauthorized access and manipulation.</w:t>
      </w:r>
    </w:p>
    <w:p>
      <w:pPr>
        <w:pStyle w:val="Heading2"/>
        <w:spacing w:before="240"/>
      </w:pPr>
      <w:r>
        <w:t xml:space="preserve">6.5 Prohibited AI Practices</w:t>
      </w:r>
    </w:p>
    <w:p>
      <w:pPr>
        <w:spacing w:after="120"/>
      </w:pPr>
      <w:r>
        <w:t xml:space="preserve">SAMEN.ai does not develop, deploy, or use AI systems that:</w:t>
      </w:r>
    </w:p>
    <w:p>
      <w:pPr>
        <w:pStyle w:val="ListParagraph"/>
        <w:numPr>
          <w:ilvl w:val="0"/>
          <w:numId w:val="2"/>
        </w:numPr>
      </w:pPr>
      <w:r>
        <w:t xml:space="preserve">Use subliminal or manipulative techniques to distort behavior</w:t>
      </w:r>
    </w:p>
    <w:p>
      <w:pPr>
        <w:pStyle w:val="ListParagraph"/>
        <w:numPr>
          <w:ilvl w:val="0"/>
          <w:numId w:val="2"/>
        </w:numPr>
      </w:pPr>
      <w:r>
        <w:t xml:space="preserve">Exploit vulnerabilities of specific groups</w:t>
      </w:r>
    </w:p>
    <w:p>
      <w:pPr>
        <w:pStyle w:val="ListParagraph"/>
        <w:numPr>
          <w:ilvl w:val="0"/>
          <w:numId w:val="2"/>
        </w:numPr>
      </w:pPr>
      <w:r>
        <w:t xml:space="preserve">Perform social scoring by public authorities</w:t>
      </w:r>
    </w:p>
    <w:p>
      <w:pPr>
        <w:pStyle w:val="ListParagraph"/>
        <w:numPr>
          <w:ilvl w:val="0"/>
          <w:numId w:val="2"/>
        </w:numPr>
      </w:pPr>
      <w:r>
        <w:t xml:space="preserve">Enable real-time biometric identification in public spaces by law enforcement (except in strictly defined circumstances)</w:t>
      </w:r>
    </w:p>
    <w:p>
      <w:pPr>
        <w:pStyle w:val="ListParagraph"/>
        <w:numPr>
          <w:ilvl w:val="0"/>
          <w:numId w:val="2"/>
        </w:numPr>
      </w:pPr>
      <w:r>
        <w:t xml:space="preserve">Create or expand facial recognition databases through untargeted scraping</w:t>
      </w:r>
    </w:p>
    <w:p>
      <w:pPr>
        <w:pStyle w:val="ListParagraph"/>
        <w:numPr>
          <w:ilvl w:val="0"/>
          <w:numId w:val="2"/>
        </w:numPr>
      </w:pPr>
      <w:r>
        <w:t xml:space="preserve">Infer emotions in workplace or educational settings (except for safety or medical purposes)</w:t>
      </w:r>
    </w:p>
    <w:p>
      <w:pPr>
        <w:pStyle w:val="ListParagraph"/>
        <w:numPr>
          <w:ilvl w:val="0"/>
          <w:numId w:val="2"/>
        </w:numPr>
      </w:pPr>
      <w:r>
        <w:t xml:space="preserve">Perform biometric categorization based on sensitive attributes</w:t>
      </w:r>
    </w:p>
    <w:p>
      <w:pPr>
        <w:pStyle w:val="Heading2"/>
        <w:spacing w:before="240"/>
      </w:pPr>
      <w:r>
        <w:t xml:space="preserve">6.6 AI Incident Reporting</w:t>
      </w:r>
    </w:p>
    <w:p>
      <w:pPr>
        <w:spacing w:after="240"/>
      </w:pPr>
      <w:r>
        <w:t xml:space="preserve">We maintain procedures for reporting serious incidents or malfunctions in our AI systems that breach EU or national law protecting fundamental rights. If you believe you have experienced harm from one of our AI systems, please contact us immediately at info@samen.ai.</w:t>
      </w:r>
    </w:p>
    <w:p>
      <w:pPr>
        <w:pStyle w:val="Heading1"/>
      </w:pPr>
      <w:r>
        <w:t xml:space="preserve">7. Data Sharing and Third-Party Processors</w:t>
      </w:r>
    </w:p>
    <w:p>
      <w:pPr>
        <w:spacing w:after="120"/>
      </w:pPr>
      <w:r>
        <w:t xml:space="preserve">We may share your personal data with the following categories of recipients:</w:t>
      </w:r>
    </w:p>
    <w:p>
      <w:pPr>
        <w:spacing w:after="60"/>
      </w:pPr>
      <w:r>
        <w:rPr>
          <w:b/>
          <w:bCs/>
        </w:rPr>
        <w:t xml:space="preserve">Service Providers: </w:t>
      </w:r>
      <w:r>
        <w:t xml:space="preserve">Third-party service providers who assist us in delivering our services, including:</w:t>
      </w:r>
    </w:p>
    <w:p>
      <w:pPr>
        <w:pStyle w:val="ListParagraph"/>
        <w:numPr>
          <w:ilvl w:val="0"/>
          <w:numId w:val="2"/>
        </w:numPr>
      </w:pPr>
      <w:r>
        <w:t xml:space="preserve">Cloud hosting providers (e.g., Microsoft Azure, AWS, Google Cloud)</w:t>
      </w:r>
    </w:p>
    <w:p>
      <w:pPr>
        <w:pStyle w:val="ListParagraph"/>
        <w:numPr>
          <w:ilvl w:val="0"/>
          <w:numId w:val="2"/>
        </w:numPr>
      </w:pPr>
      <w:r>
        <w:t xml:space="preserve">Email service providers</w:t>
      </w:r>
    </w:p>
    <w:p>
      <w:pPr>
        <w:pStyle w:val="ListParagraph"/>
        <w:numPr>
          <w:ilvl w:val="0"/>
          <w:numId w:val="2"/>
        </w:numPr>
      </w:pPr>
      <w:r>
        <w:t xml:space="preserve">Calendar and scheduling tools (Calendly)</w:t>
      </w:r>
    </w:p>
    <w:p>
      <w:pPr>
        <w:pStyle w:val="ListParagraph"/>
        <w:numPr>
          <w:ilvl w:val="0"/>
          <w:numId w:val="2"/>
        </w:numPr>
      </w:pPr>
      <w:r>
        <w:t xml:space="preserve">Analytics and monitoring services</w:t>
      </w:r>
    </w:p>
    <w:p>
      <w:pPr>
        <w:spacing w:before="120" w:after="60"/>
      </w:pPr>
      <w:r>
        <w:rPr>
          <w:b/>
          <w:bCs/>
        </w:rPr>
        <w:t xml:space="preserve">AI Technology Providers: </w:t>
      </w:r>
      <w:r>
        <w:t xml:space="preserve">When necessary for delivering AI services, we may process data through:</w:t>
      </w:r>
    </w:p>
    <w:p>
      <w:pPr>
        <w:pStyle w:val="ListParagraph"/>
        <w:numPr>
          <w:ilvl w:val="0"/>
          <w:numId w:val="2"/>
        </w:numPr>
      </w:pPr>
      <w:r>
        <w:t xml:space="preserve">OpenAI, Anthropic Claude, Mistral AI, Google Gemini, Meta AI, Cohere (AI model providers)</w:t>
      </w:r>
    </w:p>
    <w:p>
      <w:pPr>
        <w:pStyle w:val="ListParagraph"/>
        <w:numPr>
          <w:ilvl w:val="0"/>
          <w:numId w:val="2"/>
        </w:numPr>
      </w:pPr>
      <w:r>
        <w:t xml:space="preserve">Groq, NVIDIA (AI acceleration and infrastructure)</w:t>
      </w:r>
    </w:p>
    <w:p>
      <w:pPr>
        <w:pStyle w:val="ListParagraph"/>
        <w:numPr>
          <w:ilvl w:val="0"/>
          <w:numId w:val="2"/>
        </w:numPr>
      </w:pPr>
      <w:r>
        <w:t xml:space="preserve">MediaPipe, Ultralytics, OpenVINO (computer vision frameworks)</w:t>
      </w:r>
    </w:p>
    <w:p>
      <w:pPr>
        <w:spacing w:before="120" w:after="60"/>
      </w:pPr>
      <w:r>
        <w:rPr>
          <w:b/>
          <w:bCs/>
        </w:rPr>
        <w:t xml:space="preserve">Professional Advisors: </w:t>
      </w:r>
      <w:r>
        <w:t xml:space="preserve">Lawyers, accountants, auditors, and other professional advisors when necessary for legal or business purposes.</w:t>
      </w:r>
    </w:p>
    <w:p>
      <w:pPr>
        <w:spacing w:after="60"/>
      </w:pPr>
      <w:r>
        <w:rPr>
          <w:b/>
          <w:bCs/>
        </w:rPr>
        <w:t xml:space="preserve">Legal and Regulatory Authorities: </w:t>
      </w:r>
      <w:r>
        <w:t xml:space="preserve">When required by law or to protect our legal rights, we may share data with courts, regulators, and law enforcement.</w:t>
      </w:r>
    </w:p>
    <w:p>
      <w:pPr>
        <w:spacing w:after="120"/>
      </w:pPr>
      <w:r>
        <w:rPr>
          <w:b/>
          <w:bCs/>
        </w:rPr>
        <w:t xml:space="preserve">Business Partners: </w:t>
      </w:r>
      <w:r>
        <w:t xml:space="preserve">Specialists from our network who collaborate on client projects (under strict confidentiality agreements).</w:t>
      </w:r>
    </w:p>
    <w:p>
      <w:pPr>
        <w:spacing w:after="240"/>
      </w:pPr>
      <w:r>
        <w:rPr>
          <w:b/>
          <w:bCs/>
          <w:i/>
          <w:iCs/>
        </w:rPr>
        <w:t xml:space="preserve">Data Protection: </w:t>
      </w:r>
      <w:r>
        <w:rPr>
          <w:i/>
          <w:iCs/>
        </w:rPr>
        <w:t xml:space="preserve">All third-party processors are bound by data processing agreements ensuring GDPR compliance. We do not sell your personal data to third parties.</w:t>
      </w:r>
    </w:p>
    <w:p>
      <w:pPr>
        <w:pStyle w:val="Heading1"/>
      </w:pPr>
      <w:r>
        <w:t xml:space="preserve">8. International Data Transfers</w:t>
      </w:r>
    </w:p>
    <w:p>
      <w:pPr>
        <w:spacing w:after="120"/>
      </w:pPr>
      <w:r>
        <w:t xml:space="preserve">As a Netherlands-based company, we primarily store and process data within the European Economic Area (EEA). However, some of our service providers and AI technology partners may be located outside the EEA.</w:t>
      </w:r>
    </w:p>
    <w:p>
      <w:pPr>
        <w:spacing w:after="120"/>
      </w:pPr>
      <w:r>
        <w:t xml:space="preserve">When we transfer personal data outside the EEA, we ensure appropriate safeguards are in place:</w:t>
      </w:r>
    </w:p>
    <w:p>
      <w:pPr>
        <w:pStyle w:val="ListParagraph"/>
        <w:numPr>
          <w:ilvl w:val="0"/>
          <w:numId w:val="2"/>
        </w:numPr>
      </w:pPr>
      <w:r>
        <w:rPr>
          <w:b/>
          <w:bCs/>
        </w:rPr>
        <w:t xml:space="preserve">Adequacy Decisions: </w:t>
      </w:r>
      <w:r>
        <w:t xml:space="preserve">Transfers to countries deemed adequate by the European Commission.</w:t>
      </w:r>
    </w:p>
    <w:p>
      <w:pPr>
        <w:pStyle w:val="ListParagraph"/>
        <w:numPr>
          <w:ilvl w:val="0"/>
          <w:numId w:val="2"/>
        </w:numPr>
      </w:pPr>
      <w:r>
        <w:rPr>
          <w:b/>
          <w:bCs/>
        </w:rPr>
        <w:t xml:space="preserve">Standard Contractual Clauses (SCCs): </w:t>
      </w:r>
      <w:r>
        <w:t xml:space="preserve">Using EU-approved Standard Contractual Clauses with processors in third countries.</w:t>
      </w:r>
    </w:p>
    <w:p>
      <w:pPr>
        <w:pStyle w:val="ListParagraph"/>
        <w:numPr>
          <w:ilvl w:val="0"/>
          <w:numId w:val="2"/>
        </w:numPr>
      </w:pPr>
      <w:r>
        <w:rPr>
          <w:b/>
          <w:bCs/>
        </w:rPr>
        <w:t xml:space="preserve">Additional Safeguards: </w:t>
      </w:r>
      <w:r>
        <w:t xml:space="preserve">Implementing technical and organizational measures such as encryption, pseudonymization, and access controls.</w:t>
      </w:r>
    </w:p>
    <w:p>
      <w:pPr>
        <w:spacing w:before="120" w:after="240"/>
      </w:pPr>
      <w:r>
        <w:t xml:space="preserve">You have the right to obtain information about the safeguards we use for international data transfers. Please contact us at info@samen.ai for details.</w:t>
      </w:r>
    </w:p>
    <w:p>
      <w:pPr>
        <w:pStyle w:val="Heading1"/>
      </w:pPr>
      <w:r>
        <w:t xml:space="preserve">9. Data Retention</w:t>
      </w:r>
    </w:p>
    <w:p>
      <w:pPr>
        <w:spacing w:after="120"/>
      </w:pPr>
      <w:r>
        <w:t xml:space="preserve">We retain your personal data only for as long as necessary to fulfill the purposes for which it was collected and to comply with legal obligations:</w:t>
      </w:r>
    </w:p>
    <w:p>
      <w:pPr>
        <w:spacing w:after="60"/>
      </w:pPr>
      <w:r>
        <w:rPr>
          <w:b/>
          <w:bCs/>
        </w:rPr>
        <w:t xml:space="preserve">Client Data: </w:t>
      </w:r>
      <w:r>
        <w:t xml:space="preserve">Retained for the duration of the business relationship plus 7 years to comply with Dutch accounting and tax regulations.</w:t>
      </w:r>
    </w:p>
    <w:p>
      <w:pPr>
        <w:spacing w:after="60"/>
      </w:pPr>
      <w:r>
        <w:rPr>
          <w:b/>
          <w:bCs/>
        </w:rPr>
        <w:t xml:space="preserve">Marketing Communications: </w:t>
      </w:r>
      <w:r>
        <w:t xml:space="preserve">Newsletter subscriber data is retained until you unsubscribe or withdraw consent.</w:t>
      </w:r>
    </w:p>
    <w:p>
      <w:pPr>
        <w:spacing w:after="60"/>
      </w:pPr>
      <w:r>
        <w:rPr>
          <w:b/>
          <w:bCs/>
        </w:rPr>
        <w:t xml:space="preserve">Website Analytics: </w:t>
      </w:r>
      <w:r>
        <w:t xml:space="preserve">Typically retained for 26 months in aggregated, anonymized form.</w:t>
      </w:r>
    </w:p>
    <w:p>
      <w:pPr>
        <w:spacing w:after="60"/>
      </w:pPr>
      <w:r>
        <w:rPr>
          <w:b/>
          <w:bCs/>
        </w:rPr>
        <w:t xml:space="preserve">AI Demonstration Data: </w:t>
      </w:r>
      <w:r>
        <w:t xml:space="preserve">Webcam and query data from demonstrations are processed in real-time and not stored permanently unless explicitly provided as part of a service engagement.</w:t>
      </w:r>
    </w:p>
    <w:p>
      <w:pPr>
        <w:spacing w:after="60"/>
      </w:pPr>
      <w:r>
        <w:rPr>
          <w:b/>
          <w:bCs/>
        </w:rPr>
        <w:t xml:space="preserve">Inquiry Data: </w:t>
      </w:r>
      <w:r>
        <w:t xml:space="preserve">Contact inquiries are retained for 2 years unless they lead to a business relationship.</w:t>
      </w:r>
    </w:p>
    <w:p>
      <w:pPr>
        <w:spacing w:after="240"/>
      </w:pPr>
      <w:r>
        <w:t xml:space="preserve">After the retention period expires, we securely delete or anonymize your personal data. You may request earlier deletion in accordance with your data subject rights (see Section 10).</w:t>
      </w:r>
    </w:p>
    <w:p>
      <w:pPr>
        <w:pStyle w:val="Heading1"/>
      </w:pPr>
      <w:r>
        <w:t xml:space="preserve">10. Your Rights Under GDPR</w:t>
      </w:r>
    </w:p>
    <w:p>
      <w:pPr>
        <w:spacing w:after="120"/>
      </w:pPr>
      <w:r>
        <w:t xml:space="preserve">Under the GDPR, you have the following rights regarding your personal data:</w:t>
      </w:r>
    </w:p>
    <w:p>
      <w:pPr>
        <w:spacing w:after="60"/>
      </w:pPr>
      <w:r>
        <w:rPr>
          <w:b/>
          <w:bCs/>
        </w:rPr>
        <w:t xml:space="preserve">Right of Access (Article 15): </w:t>
      </w:r>
      <w:r>
        <w:t xml:space="preserve">You can request confirmation of whether we process your personal data and obtain a copy of that data.</w:t>
      </w:r>
    </w:p>
    <w:p>
      <w:pPr>
        <w:spacing w:after="60"/>
      </w:pPr>
      <w:r>
        <w:rPr>
          <w:b/>
          <w:bCs/>
        </w:rPr>
        <w:t xml:space="preserve">Right to Rectification (Article 16): </w:t>
      </w:r>
      <w:r>
        <w:t xml:space="preserve">You can request correction of inaccurate personal data or completion of incomplete data.</w:t>
      </w:r>
    </w:p>
    <w:p>
      <w:pPr>
        <w:spacing w:after="60"/>
      </w:pPr>
      <w:r>
        <w:rPr>
          <w:b/>
          <w:bCs/>
        </w:rPr>
        <w:t xml:space="preserve">Right to Erasure (Article 17): </w:t>
      </w:r>
      <w:r>
        <w:t xml:space="preserve">You can request deletion of your personal data when it is no longer necessary, when you withdraw consent, or when you object to processing (subject to legal limitations).</w:t>
      </w:r>
    </w:p>
    <w:p>
      <w:pPr>
        <w:spacing w:after="60"/>
      </w:pPr>
      <w:r>
        <w:rPr>
          <w:b/>
          <w:bCs/>
        </w:rPr>
        <w:t xml:space="preserve">Right to Restriction of Processing (Article 18): </w:t>
      </w:r>
      <w:r>
        <w:t xml:space="preserve">You can request limitation of processing in certain circumstances, such as when you contest data accuracy or object to processing.</w:t>
      </w:r>
    </w:p>
    <w:p>
      <w:pPr>
        <w:spacing w:after="60"/>
      </w:pPr>
      <w:r>
        <w:rPr>
          <w:b/>
          <w:bCs/>
        </w:rPr>
        <w:t xml:space="preserve">Right to Data Portability (Article 20): </w:t>
      </w:r>
      <w:r>
        <w:t xml:space="preserve">You can receive your personal data in a structured, commonly used, machine-readable format and transmit it to another controller.</w:t>
      </w:r>
    </w:p>
    <w:p>
      <w:pPr>
        <w:spacing w:after="60"/>
      </w:pPr>
      <w:r>
        <w:rPr>
          <w:b/>
          <w:bCs/>
        </w:rPr>
        <w:t xml:space="preserve">Right to Object (Article 21): </w:t>
      </w:r>
      <w:r>
        <w:t xml:space="preserve">You can object to processing based on legitimate interests or for direct marketing purposes. We will cease processing unless we have compelling legitimate grounds.</w:t>
      </w:r>
    </w:p>
    <w:p>
      <w:pPr>
        <w:spacing w:after="60"/>
      </w:pPr>
      <w:r>
        <w:rPr>
          <w:b/>
          <w:bCs/>
        </w:rPr>
        <w:t xml:space="preserve">Right to Withdraw Consent (Article 7(3)): </w:t>
      </w:r>
      <w:r>
        <w:t xml:space="preserve">When processing is based on consent, you can withdraw it at any time without affecting the lawfulness of processing before withdrawal.</w:t>
      </w:r>
    </w:p>
    <w:p>
      <w:pPr>
        <w:spacing w:after="60"/>
      </w:pPr>
      <w:r>
        <w:rPr>
          <w:b/>
          <w:bCs/>
        </w:rPr>
        <w:t xml:space="preserve">Right Not to be Subject to Automated Decision-Making (Article 22): </w:t>
      </w:r>
      <w:r>
        <w:t xml:space="preserve">You have the right not to be subject to decisions based solely on automated processing, including profiling, which produces legal effects or similarly significantly affects you. We do not engage in such automated decision-making without human involvement.</w:t>
      </w:r>
    </w:p>
    <w:p>
      <w:pPr>
        <w:spacing w:before="120" w:after="120"/>
      </w:pPr>
      <w:r>
        <w:rPr>
          <w:b/>
          <w:bCs/>
        </w:rPr>
        <w:t xml:space="preserve">Exercising Your Rights:</w:t>
      </w:r>
    </w:p>
    <w:p>
      <w:pPr>
        <w:spacing w:after="60"/>
      </w:pPr>
      <w:r>
        <w:t xml:space="preserve">To exercise any of these rights, please contact us at:</w:t>
      </w:r>
    </w:p>
    <w:p>
      <w:pPr>
        <w:pStyle w:val="ListParagraph"/>
        <w:numPr>
          <w:ilvl w:val="0"/>
          <w:numId w:val="2"/>
        </w:numPr>
      </w:pPr>
      <w:r>
        <w:t xml:space="preserve">Email: info@samen.ai</w:t>
      </w:r>
    </w:p>
    <w:p>
      <w:pPr>
        <w:pStyle w:val="ListParagraph"/>
        <w:numPr>
          <w:ilvl w:val="0"/>
          <w:numId w:val="2"/>
        </w:numPr>
      </w:pPr>
      <w:r>
        <w:t xml:space="preserve">Phone: +31 6 36376077</w:t>
      </w:r>
    </w:p>
    <w:p>
      <w:pPr>
        <w:spacing w:before="120" w:after="120"/>
      </w:pPr>
      <w:r>
        <w:t xml:space="preserve">We will respond to your request within one month. If your request is particularly complex or numerous, we may extend this period by two additional months, and we will inform you of this extension.</w:t>
      </w:r>
    </w:p>
    <w:p>
      <w:pPr>
        <w:spacing w:after="240"/>
      </w:pPr>
      <w:r>
        <w:rPr>
          <w:b/>
          <w:bCs/>
        </w:rPr>
        <w:t xml:space="preserve">Right to Lodge a Complaint: </w:t>
      </w:r>
      <w:r>
        <w:t xml:space="preserve">If you believe we have not processed your personal data in accordance with GDPR, you have the right to lodge a complaint with the Dutch Data Protection Authority (Autoriteit Persoonsgegevens) or the supervisory authority in your EU member state.</w:t>
      </w:r>
    </w:p>
    <w:p>
      <w:pPr>
        <w:pStyle w:val="Heading1"/>
      </w:pPr>
      <w:r>
        <w:t xml:space="preserve">11. Cookies and Tracking Technologies</w:t>
      </w:r>
    </w:p>
    <w:p>
      <w:pPr>
        <w:spacing w:after="120"/>
      </w:pPr>
      <w:r>
        <w:t xml:space="preserve">Our website uses cookies and similar tracking technologies to improve user experience, analyze website performance, and provide functionality.</w:t>
      </w:r>
    </w:p>
    <w:p>
      <w:pPr>
        <w:pStyle w:val="Heading2"/>
      </w:pPr>
      <w:r>
        <w:t xml:space="preserve">11.1 Types of Cookies We Use</w:t>
      </w:r>
    </w:p>
    <w:p>
      <w:pPr>
        <w:spacing w:after="60"/>
      </w:pPr>
      <w:r>
        <w:rPr>
          <w:b/>
          <w:bCs/>
        </w:rPr>
        <w:t xml:space="preserve">Strictly Necessary Cookies: </w:t>
      </w:r>
      <w:r>
        <w:t xml:space="preserve">Essential for website operation, enabling core functionality such as security, network management, and accessibility.</w:t>
      </w:r>
    </w:p>
    <w:p>
      <w:pPr>
        <w:spacing w:after="60"/>
      </w:pPr>
      <w:r>
        <w:rPr>
          <w:b/>
          <w:bCs/>
        </w:rPr>
        <w:t xml:space="preserve">Performance Cookies: </w:t>
      </w:r>
      <w:r>
        <w:t xml:space="preserve">Collect information about how visitors use our website, helping us improve functionality and user experience.</w:t>
      </w:r>
    </w:p>
    <w:p>
      <w:pPr>
        <w:spacing w:after="60"/>
      </w:pPr>
      <w:r>
        <w:rPr>
          <w:b/>
          <w:bCs/>
        </w:rPr>
        <w:t xml:space="preserve">Functional Cookies: </w:t>
      </w:r>
      <w:r>
        <w:t xml:space="preserve">Remember choices you make (such as language preferences) to provide enhanced, personalized features.</w:t>
      </w:r>
    </w:p>
    <w:p>
      <w:pPr>
        <w:spacing w:after="240"/>
      </w:pPr>
      <w:r>
        <w:rPr>
          <w:b/>
          <w:bCs/>
        </w:rPr>
        <w:t xml:space="preserve">Analytics Cookies: </w:t>
      </w:r>
      <w:r>
        <w:t xml:space="preserve">Help us understand website traffic patterns and visitor behavior to optimize our services.</w:t>
      </w:r>
    </w:p>
    <w:p>
      <w:pPr>
        <w:pStyle w:val="Heading2"/>
      </w:pPr>
      <w:r>
        <w:t xml:space="preserve">11.2 Managing Cookies</w:t>
      </w:r>
    </w:p>
    <w:p>
      <w:pPr>
        <w:spacing w:after="120"/>
      </w:pPr>
      <w:r>
        <w:t xml:space="preserve">You can control and manage cookies through your browser settings. Most browsers allow you to:</w:t>
      </w:r>
    </w:p>
    <w:p>
      <w:pPr>
        <w:pStyle w:val="ListParagraph"/>
        <w:numPr>
          <w:ilvl w:val="0"/>
          <w:numId w:val="2"/>
        </w:numPr>
      </w:pPr>
      <w:r>
        <w:t xml:space="preserve">View cookies stored on your device</w:t>
      </w:r>
    </w:p>
    <w:p>
      <w:pPr>
        <w:pStyle w:val="ListParagraph"/>
        <w:numPr>
          <w:ilvl w:val="0"/>
          <w:numId w:val="2"/>
        </w:numPr>
      </w:pPr>
      <w:r>
        <w:t xml:space="preserve">Delete all or specific cookies</w:t>
      </w:r>
    </w:p>
    <w:p>
      <w:pPr>
        <w:pStyle w:val="ListParagraph"/>
        <w:numPr>
          <w:ilvl w:val="0"/>
          <w:numId w:val="2"/>
        </w:numPr>
      </w:pPr>
      <w:r>
        <w:t xml:space="preserve">Block third-party cookies</w:t>
      </w:r>
    </w:p>
    <w:p>
      <w:pPr>
        <w:pStyle w:val="ListParagraph"/>
        <w:numPr>
          <w:ilvl w:val="0"/>
          <w:numId w:val="2"/>
        </w:numPr>
      </w:pPr>
      <w:r>
        <w:t xml:space="preserve">Block cookies from specific websites</w:t>
      </w:r>
    </w:p>
    <w:p>
      <w:pPr>
        <w:pStyle w:val="ListParagraph"/>
        <w:numPr>
          <w:ilvl w:val="0"/>
          <w:numId w:val="2"/>
        </w:numPr>
      </w:pPr>
      <w:r>
        <w:t xml:space="preserve">Delete all cookies when you close your browser</w:t>
      </w:r>
    </w:p>
    <w:p>
      <w:pPr>
        <w:spacing w:before="120" w:after="240"/>
      </w:pPr>
      <w:r>
        <w:t xml:space="preserve">Please note that disabling cookies may affect website functionality and your user experience.</w:t>
      </w:r>
    </w:p>
    <w:p>
      <w:pPr>
        <w:pStyle w:val="Heading1"/>
      </w:pPr>
      <w:r>
        <w:t xml:space="preserve">12. Data Security</w:t>
      </w:r>
    </w:p>
    <w:p>
      <w:pPr>
        <w:spacing w:after="120"/>
      </w:pPr>
      <w:r>
        <w:t xml:space="preserve">We implement appropriate technical and organizational security measures to protect your personal data against unauthorized access, alteration, disclosure, or destruction:</w:t>
      </w:r>
    </w:p>
    <w:p>
      <w:pPr>
        <w:spacing w:after="60"/>
      </w:pPr>
      <w:r>
        <w:rPr>
          <w:b/>
          <w:bCs/>
        </w:rPr>
        <w:t xml:space="preserve">Encryption: </w:t>
      </w:r>
      <w:r>
        <w:t xml:space="preserve">Data in transit is protected using TLS/SSL encryption. Sensitive data at rest is encrypted using industry-standard algorithms.</w:t>
      </w:r>
    </w:p>
    <w:p>
      <w:pPr>
        <w:spacing w:after="60"/>
      </w:pPr>
      <w:r>
        <w:rPr>
          <w:b/>
          <w:bCs/>
        </w:rPr>
        <w:t xml:space="preserve">Access Controls: </w:t>
      </w:r>
      <w:r>
        <w:t xml:space="preserve">Strict authentication and authorization mechanisms ensure only authorized personnel can access personal data.</w:t>
      </w:r>
    </w:p>
    <w:p>
      <w:pPr>
        <w:spacing w:after="60"/>
      </w:pPr>
      <w:r>
        <w:rPr>
          <w:b/>
          <w:bCs/>
        </w:rPr>
        <w:t xml:space="preserve">Network Security: </w:t>
      </w:r>
      <w:r>
        <w:t xml:space="preserve">Firewalls, intrusion detection systems, and regular security monitoring protect our infrastructure.</w:t>
      </w:r>
    </w:p>
    <w:p>
      <w:pPr>
        <w:spacing w:after="60"/>
      </w:pPr>
      <w:r>
        <w:rPr>
          <w:b/>
          <w:bCs/>
        </w:rPr>
        <w:t xml:space="preserve">Regular Security Assessments: </w:t>
      </w:r>
      <w:r>
        <w:t xml:space="preserve">We conduct regular security audits, vulnerability assessments, and penetration testing.</w:t>
      </w:r>
    </w:p>
    <w:p>
      <w:pPr>
        <w:spacing w:after="60"/>
      </w:pPr>
      <w:r>
        <w:rPr>
          <w:b/>
          <w:bCs/>
        </w:rPr>
        <w:t xml:space="preserve">Employee Training: </w:t>
      </w:r>
      <w:r>
        <w:t xml:space="preserve">Our team receives regular training on data protection and security best practices.</w:t>
      </w:r>
    </w:p>
    <w:p>
      <w:pPr>
        <w:spacing w:after="60"/>
      </w:pPr>
      <w:r>
        <w:rPr>
          <w:b/>
          <w:bCs/>
        </w:rPr>
        <w:t xml:space="preserve">Incident Response: </w:t>
      </w:r>
      <w:r>
        <w:t xml:space="preserve">We maintain an incident response plan to quickly address any data breaches.</w:t>
      </w:r>
    </w:p>
    <w:p>
      <w:pPr>
        <w:spacing w:before="120" w:after="240"/>
      </w:pPr>
      <w:r>
        <w:t xml:space="preserve">In the event of a personal data breach that poses a risk to your rights and freedoms, we will notify you and the relevant supervisory authority within 72 hours, as required by GDPR Article 33.</w:t>
      </w:r>
    </w:p>
    <w:p>
      <w:pPr>
        <w:pStyle w:val="Heading1"/>
      </w:pPr>
      <w:r>
        <w:t xml:space="preserve">13. Children's Privacy</w:t>
      </w:r>
    </w:p>
    <w:p>
      <w:pPr>
        <w:spacing w:after="240"/>
      </w:pPr>
      <w:r>
        <w:t xml:space="preserve">Our services are not directed at children under 16 years of age. We do not knowingly collect personal data from children. If you believe we have inadvertently collected data from a child, please contact us immediately at info@samen.ai, and we will promptly delete such information.</w:t>
      </w:r>
    </w:p>
    <w:p>
      <w:pPr>
        <w:pStyle w:val="Heading1"/>
      </w:pPr>
      <w:r>
        <w:t xml:space="preserve">14. Changes to This Privacy Statement</w:t>
      </w:r>
    </w:p>
    <w:p>
      <w:pPr>
        <w:spacing w:after="120"/>
      </w:pPr>
      <w:r>
        <w:t xml:space="preserve">We may update this Privacy Statement periodically to reflect changes in our practices, technologies, legal requirements, or other factors. We will:</w:t>
      </w:r>
    </w:p>
    <w:p>
      <w:pPr>
        <w:pStyle w:val="ListParagraph"/>
        <w:numPr>
          <w:ilvl w:val="0"/>
          <w:numId w:val="2"/>
        </w:numPr>
      </w:pPr>
      <w:r>
        <w:t xml:space="preserve">Post the updated statement on our website with a revised effective date</w:t>
      </w:r>
    </w:p>
    <w:p>
      <w:pPr>
        <w:pStyle w:val="ListParagraph"/>
        <w:numPr>
          <w:ilvl w:val="0"/>
          <w:numId w:val="2"/>
        </w:numPr>
      </w:pPr>
      <w:r>
        <w:t xml:space="preserve">Notify you of material changes via email if you have subscribed to our newsletter</w:t>
      </w:r>
    </w:p>
    <w:p>
      <w:pPr>
        <w:pStyle w:val="ListParagraph"/>
        <w:numPr>
          <w:ilvl w:val="0"/>
          <w:numId w:val="2"/>
        </w:numPr>
      </w:pPr>
      <w:r>
        <w:t xml:space="preserve">For significant changes, request your renewed consent where required by law</w:t>
      </w:r>
    </w:p>
    <w:p>
      <w:pPr>
        <w:spacing w:before="120" w:after="240"/>
      </w:pPr>
      <w:r>
        <w:t xml:space="preserve">We encourage you to review this Privacy Statement regularly to stay informed about how we protect your data.</w:t>
      </w:r>
    </w:p>
    <w:p>
      <w:pPr>
        <w:pStyle w:val="Heading1"/>
      </w:pPr>
      <w:r>
        <w:t xml:space="preserve">15. Contact Information</w:t>
      </w:r>
    </w:p>
    <w:p>
      <w:pPr>
        <w:spacing w:after="120"/>
      </w:pPr>
      <w:r>
        <w:t xml:space="preserve">If you have questions, concerns, or requests regarding this Privacy Statement or our data processing practices, please contact us:</w:t>
      </w:r>
    </w:p>
    <w:p>
      <w:pPr>
        <w:spacing w:after="60"/>
      </w:pPr>
      <w:r>
        <w:rPr>
          <w:b/>
          <w:bCs/>
        </w:rPr>
        <w:t xml:space="preserve">SAMEN.ai</w:t>
      </w:r>
    </w:p>
    <w:p>
      <w:pPr>
        <w:spacing w:after="60"/>
      </w:pPr>
      <w:r>
        <w:t xml:space="preserve">Rotterdam, South Holland, Netherlands</w:t>
      </w:r>
    </w:p>
    <w:p>
      <w:pPr>
        <w:spacing w:after="60"/>
      </w:pPr>
      <w:r>
        <w:t xml:space="preserve">Email: </w:t>
      </w:r>
      <w:hyperlink w:history="1" r:id="rIdulgwgeh76m5pudwvpmdax">
        <w:r>
          <w:rPr>
            <w:rStyle w:val="Hyperlink"/>
          </w:rPr>
          <w:t xml:space="preserve">info@samen.ai</w:t>
        </w:r>
      </w:hyperlink>
    </w:p>
    <w:p>
      <w:pPr>
        <w:spacing w:after="60"/>
      </w:pPr>
      <w:r>
        <w:t xml:space="preserve">Phone: +31 6 36376077</w:t>
      </w:r>
    </w:p>
    <w:p>
      <w:pPr>
        <w:spacing w:after="240"/>
      </w:pPr>
      <w:r>
        <w:t xml:space="preserve">Website: </w:t>
      </w:r>
      <w:hyperlink w:history="1" r:id="rIdzmtw7rs1zgjrkxdtzxrb_">
        <w:r>
          <w:rPr>
            <w:rStyle w:val="Hyperlink"/>
          </w:rPr>
          <w:t xml:space="preserve">https://samen.ai/</w:t>
        </w:r>
      </w:hyperlink>
    </w:p>
    <w:p>
      <w:pPr>
        <w:pStyle w:val="Heading1"/>
      </w:pPr>
      <w:r>
        <w:t xml:space="preserve">16. Supervisory Authority</w:t>
      </w:r>
    </w:p>
    <w:p>
      <w:pPr>
        <w:spacing w:after="120"/>
      </w:pPr>
      <w:r>
        <w:t xml:space="preserve">If you have concerns about how we handle your personal data, you have the right to lodge a complaint with the Dutch Data Protection Authority:</w:t>
      </w:r>
    </w:p>
    <w:p>
      <w:pPr>
        <w:spacing w:after="60"/>
      </w:pPr>
      <w:r>
        <w:rPr>
          <w:b/>
          <w:bCs/>
        </w:rPr>
        <w:t xml:space="preserve">Autoriteit Persoonsgegevens</w:t>
      </w:r>
    </w:p>
    <w:p>
      <w:pPr>
        <w:spacing w:after="60"/>
      </w:pPr>
      <w:r>
        <w:t xml:space="preserve">Postbus 93374</w:t>
      </w:r>
    </w:p>
    <w:p>
      <w:pPr>
        <w:spacing w:after="60"/>
      </w:pPr>
      <w:r>
        <w:t xml:space="preserve">2509 AJ Den Haag</w:t>
      </w:r>
    </w:p>
    <w:p>
      <w:pPr>
        <w:spacing w:after="60"/>
      </w:pPr>
      <w:r>
        <w:t xml:space="preserve">Netherlands</w:t>
      </w:r>
    </w:p>
    <w:p>
      <w:pPr>
        <w:spacing w:after="60"/>
      </w:pPr>
      <w:r>
        <w:t xml:space="preserve">Website: </w:t>
      </w:r>
      <w:hyperlink w:history="1" r:id="rIdwpz0ijdn4l4gkju1k095u">
        <w:r>
          <w:rPr>
            <w:rStyle w:val="Hyperlink"/>
          </w:rPr>
          <w:t xml:space="preserve">https://autoriteitpersoonsgegevens.nl</w:t>
        </w:r>
      </w:hyperlink>
    </w:p>
    <w:p>
      <w:pPr>
        <w:spacing w:after="360"/>
      </w:pPr>
      <w:r>
        <w:t xml:space="preserve">Phone: +31 70 888 8500</w:t>
      </w:r>
    </w:p>
    <w:p>
      <w:pPr>
        <w:spacing w:before="240" w:after="120"/>
        <w:jc w:val="center"/>
      </w:pPr>
      <w:r>
        <w:rPr>
          <w:b/>
          <w:bCs/>
          <w:sz w:val="28"/>
          <w:szCs w:val="28"/>
        </w:rPr>
        <w:t xml:space="preserve">***</w:t>
      </w:r>
    </w:p>
    <w:p>
      <w:pPr>
        <w:spacing w:after="120"/>
        <w:jc w:val="center"/>
      </w:pPr>
      <w:r>
        <w:rPr>
          <w:i/>
          <w:iCs/>
        </w:rPr>
        <w:t xml:space="preserve">Thank you for trusting SAMEN.ai with your data.</w:t>
      </w:r>
    </w:p>
    <w:p>
      <w:pPr>
        <w:jc w:val="center"/>
      </w:pPr>
      <w:r>
        <w:rPr>
          <w:i/>
          <w:iCs/>
        </w:rPr>
        <w:t xml:space="preserve">We are committed to protecting your privacy and ensuring transparency in all our AI solutions.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240"/>
      <w:jc w:val="center"/>
    </w:pPr>
    <w:rPr>
      <w:rFonts w:ascii="Arial" w:cs="Arial" w:eastAsia="Arial" w:hAnsi="Arial"/>
      <w:b/>
      <w:bCs/>
      <w:color w:val="000000"/>
      <w:sz w:val="56"/>
      <w:szCs w:val="56"/>
    </w:rPr>
  </w:style>
  <w:style w:type="paragraph" w:styleId="Heading1">
    <w:name w:val="Heading 1"/>
    <w:basedOn w:val="Normal"/>
    <w:next w:val="Normal"/>
    <w:qFormat/>
    <w:pPr>
      <w:spacing w:before="360" w:after="180"/>
      <w:outlineLvl w:val="0"/>
    </w:pPr>
    <w:rPr>
      <w:rFonts w:ascii="Arial" w:cs="Arial" w:eastAsia="Arial" w:hAnsi="Arial"/>
      <w:b/>
      <w:bCs/>
      <w:color w:val="000000"/>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00000"/>
      <w:sz w:val="28"/>
      <w:szCs w:val="28"/>
    </w:rPr>
  </w:style>
  <w:style w:type="paragraph" w:styleId="Heading3">
    <w:name w:val="Heading 3"/>
    <w:basedOn w:val="Normal"/>
    <w:next w:val="Normal"/>
    <w:qFormat/>
    <w:pPr>
      <w:spacing w:before="180" w:after="1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ulgwgeh76m5pudwvpmdax" Type="http://schemas.openxmlformats.org/officeDocument/2006/relationships/hyperlink" Target="mailto:info@samen.ai" TargetMode="External"/><Relationship Id="rIdzmtw7rs1zgjrkxdtzxrb_" Type="http://schemas.openxmlformats.org/officeDocument/2006/relationships/hyperlink" Target="https://samen.ai/" TargetMode="External"/><Relationship Id="rIdwpz0ijdn4l4gkju1k095u" Type="http://schemas.openxmlformats.org/officeDocument/2006/relationships/hyperlink" Target="https://autoriteitpersoonsgegevens.nl"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2025-12-23T17:49:06.837Z</dcterms:created>
  <dcterms:modified xsi:type="dcterms:W3CDTF">2025-12-23T17:49:06.837Z</dcterms:modified>
</cp:coreProperties>
</file>

<file path=docProps/custom.xml><?xml version="1.0" encoding="utf-8"?>
<Properties xmlns="http://schemas.openxmlformats.org/officeDocument/2006/custom-properties" xmlns:vt="http://schemas.openxmlformats.org/officeDocument/2006/docPropsVTypes"/>
</file>